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DDF74" w14:textId="77777777" w:rsidR="001B465E" w:rsidRPr="00FE0C3A" w:rsidRDefault="001B465E" w:rsidP="001B465E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1D620D28" w14:textId="77777777" w:rsidR="001B465E" w:rsidRPr="00FE0C3A" w:rsidRDefault="001B465E" w:rsidP="001B465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559F6ADB" w14:textId="77777777" w:rsidR="001B465E" w:rsidRPr="00FE0C3A" w:rsidRDefault="001B465E" w:rsidP="001B465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17030020" w14:textId="77777777" w:rsidR="001B465E" w:rsidRDefault="001B465E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</w:p>
    <w:p w14:paraId="3095AE49" w14:textId="1934BB52" w:rsidR="00816E19" w:rsidRPr="00E80ACD" w:rsidRDefault="00816E19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E80ACD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Rachunkowość finansowa</w:t>
      </w:r>
    </w:p>
    <w:p w14:paraId="794BF0B2" w14:textId="77777777" w:rsidR="00816E19" w:rsidRDefault="00816E19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816E19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7F73C9F1" w14:textId="77777777" w:rsidR="00816E19" w:rsidRPr="00816E19" w:rsidRDefault="00816E19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118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37"/>
        <w:gridCol w:w="3118"/>
        <w:gridCol w:w="3686"/>
        <w:gridCol w:w="3685"/>
      </w:tblGrid>
      <w:tr w:rsidR="00E23546" w:rsidRPr="00BB476D" w14:paraId="708DA405" w14:textId="77777777" w:rsidTr="00A43E14">
        <w:trPr>
          <w:trHeight w:val="420"/>
          <w:tblHeader/>
        </w:trPr>
        <w:tc>
          <w:tcPr>
            <w:tcW w:w="4537" w:type="dxa"/>
            <w:vMerge w:val="restart"/>
            <w:shd w:val="clear" w:color="auto" w:fill="E2EFD9" w:themeFill="accent6" w:themeFillTint="33"/>
            <w:vAlign w:val="center"/>
          </w:tcPr>
          <w:p w14:paraId="708DA401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0489" w:type="dxa"/>
            <w:gridSpan w:val="3"/>
            <w:shd w:val="clear" w:color="auto" w:fill="E2EFD9" w:themeFill="accent6" w:themeFillTint="33"/>
            <w:vAlign w:val="center"/>
          </w:tcPr>
          <w:p w14:paraId="708DA404" w14:textId="6A1126D8" w:rsidR="00E23546" w:rsidRPr="00BB476D" w:rsidRDefault="00816E19" w:rsidP="00816E1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708DA417" w14:textId="77777777" w:rsidTr="00A43E14">
        <w:trPr>
          <w:trHeight w:val="668"/>
          <w:tblHeader/>
        </w:trPr>
        <w:tc>
          <w:tcPr>
            <w:tcW w:w="4537" w:type="dxa"/>
            <w:vMerge/>
            <w:shd w:val="clear" w:color="auto" w:fill="E2EFD9" w:themeFill="accent6" w:themeFillTint="33"/>
            <w:vAlign w:val="center"/>
          </w:tcPr>
          <w:p w14:paraId="708DA406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E2EFD9" w:themeFill="accent6" w:themeFillTint="33"/>
          </w:tcPr>
          <w:p w14:paraId="708DA407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8DA408" w14:textId="30678391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816E19">
              <w:rPr>
                <w:rFonts w:ascii="Times New Roman" w:eastAsia="Calibri" w:hAnsi="Times New Roman" w:cs="Times New Roman"/>
                <w:sz w:val="20"/>
                <w:szCs w:val="20"/>
              </w:rPr>
              <w:t>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708DA409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8DA40A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8DA40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708DA40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708DA40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8DA40E" w14:textId="16CE7C08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</w:t>
            </w:r>
            <w:r w:rsidR="00816E19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</w:p>
          <w:p w14:paraId="708DA40F" w14:textId="27FA0B40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8DA41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8DA411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708DA412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8DA413" w14:textId="60DC7D8F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="00816E19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……………….</w:t>
            </w:r>
          </w:p>
          <w:p w14:paraId="708DA414" w14:textId="78D0DB23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8DA41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8DA41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816E19" w14:paraId="708DA41C" w14:textId="77777777" w:rsidTr="00A43E14">
        <w:trPr>
          <w:trHeight w:val="280"/>
          <w:tblHeader/>
        </w:trPr>
        <w:tc>
          <w:tcPr>
            <w:tcW w:w="4537" w:type="dxa"/>
            <w:shd w:val="clear" w:color="auto" w:fill="E2EFD9" w:themeFill="accent6" w:themeFillTint="33"/>
            <w:vAlign w:val="center"/>
          </w:tcPr>
          <w:p w14:paraId="708DA418" w14:textId="77777777" w:rsidR="00E23546" w:rsidRPr="00816E19" w:rsidRDefault="00E23546" w:rsidP="00816E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708DA419" w14:textId="77777777" w:rsidR="00E23546" w:rsidRPr="00816E19" w:rsidRDefault="00E23546" w:rsidP="00816E19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708DA41A" w14:textId="77777777" w:rsidR="00E23546" w:rsidRPr="00816E19" w:rsidRDefault="00E23546" w:rsidP="00816E19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708DA41B" w14:textId="77777777" w:rsidR="00E23546" w:rsidRPr="00816E19" w:rsidRDefault="00E23546" w:rsidP="00816E19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524EB9" w:rsidRPr="00BB476D" w14:paraId="708DA421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4537" w:type="dxa"/>
          </w:tcPr>
          <w:p w14:paraId="657B34AC" w14:textId="77777777" w:rsidR="00915883" w:rsidRPr="00915883" w:rsidRDefault="00915883" w:rsidP="00915883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6.1. Rachunkowość finansowa jednostek, w tym spółek publicznych – według ustawy o rachunkowości (</w:t>
            </w:r>
            <w:proofErr w:type="spellStart"/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UoR</w:t>
            </w:r>
            <w:proofErr w:type="spellEnd"/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) i </w:t>
            </w:r>
          </w:p>
          <w:p w14:paraId="42A090D6" w14:textId="77777777" w:rsidR="00915883" w:rsidRPr="00915883" w:rsidRDefault="00915883" w:rsidP="00915883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MSR</w:t>
            </w: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footnoteReference w:id="3"/>
            </w: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(z wyłączeniem jednostek prowadzących działalność na podstawie prawa bankowego, ustawy o obrocie instrumentami finansowymi, przepisów o funduszach inwestycyjnych, ustawy o spółdzielczych kasach oszczędnościowo-kredytowych, ustawy o instytucjach płatniczych oraz ustawy o działalności ubezpieczeniowej, ustawy o organizacji i funkcjonowaniu funduszy emerytalnych i ustawy o finansach publicznych)</w:t>
            </w:r>
          </w:p>
          <w:p w14:paraId="24E1403B" w14:textId="77777777" w:rsidR="00915883" w:rsidRPr="00915883" w:rsidRDefault="00915883" w:rsidP="00915883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 xml:space="preserve">  </w:t>
            </w:r>
          </w:p>
          <w:p w14:paraId="25E1FB16" w14:textId="15DF027A" w:rsidR="00EA3FD9" w:rsidRPr="00EA3FD9" w:rsidRDefault="00915883" w:rsidP="00EA3FD9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6.1.1. Wycena początkowa, bieżąca i bilansowa poszczególnych   składników aktywów i pasywów</w:t>
            </w:r>
          </w:p>
          <w:p w14:paraId="25E5B03C" w14:textId="5DB714A9" w:rsidR="00524EB9" w:rsidRPr="00915883" w:rsidRDefault="00524EB9" w:rsidP="00915883">
            <w:pPr>
              <w:spacing w:line="256" w:lineRule="auto"/>
              <w:rPr>
                <w:rFonts w:ascii="Times New Roman" w:eastAsia="Calibri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86EEF48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2DE5D25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7A832ED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7557E92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7D1B0A1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271CF95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335385C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2897D3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B4896DB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D0128C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B64472C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08DA420" w14:textId="77777777" w:rsidR="00524EB9" w:rsidRPr="00BB476D" w:rsidRDefault="00524EB9" w:rsidP="005929A5"/>
        </w:tc>
      </w:tr>
      <w:tr w:rsidR="00524EB9" w:rsidRPr="00BB476D" w14:paraId="217C59C8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13"/>
        </w:trPr>
        <w:tc>
          <w:tcPr>
            <w:tcW w:w="4537" w:type="dxa"/>
          </w:tcPr>
          <w:p w14:paraId="120E5F82" w14:textId="77777777" w:rsidR="00915883" w:rsidRPr="00915883" w:rsidRDefault="0091588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6.1.2. Ujęcie w księgach rachunkowych i prezentacja w sprawozdaniu finansowym zdarzeń związanych z </w:t>
            </w:r>
          </w:p>
          <w:p w14:paraId="6319806C" w14:textId="42CE573C" w:rsidR="00524EB9" w:rsidRDefault="008D44B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działalnością operacyjną</w:t>
            </w:r>
            <w:r w:rsidR="00915883"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, inwestycyjną i finansow</w:t>
            </w:r>
            <w:r w:rsidR="006C2EE2">
              <w:rPr>
                <w:rFonts w:ascii="Times New Roman" w:eastAsia="Calibri" w:hAnsi="Times New Roman" w:cs="Times New Roman"/>
                <w:sz w:val="18"/>
                <w:szCs w:val="18"/>
              </w:rPr>
              <w:t>ą</w:t>
            </w:r>
          </w:p>
        </w:tc>
        <w:tc>
          <w:tcPr>
            <w:tcW w:w="3118" w:type="dxa"/>
          </w:tcPr>
          <w:p w14:paraId="7E115F58" w14:textId="77777777" w:rsidR="00524EB9" w:rsidRDefault="00524EB9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60940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81B1CB1" w14:textId="77777777" w:rsidR="00524EB9" w:rsidRDefault="00524EB9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323DA59" w14:textId="1EA60BA5" w:rsidR="00524EB9" w:rsidRDefault="00524EB9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0935261D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A82B1F6" w14:textId="020B0A05" w:rsidR="006C2EE2" w:rsidRDefault="00915883" w:rsidP="006C2EE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6.1.3. Ujęcie w księgach rachunkowych i prezentacja w sprawozdaniu finansowym różnic pomiędzy wyceną bieżącą i wyceną bilansową aktywów i pasywów </w:t>
            </w:r>
          </w:p>
          <w:p w14:paraId="7BC25349" w14:textId="5F8D3A31" w:rsidR="00915883" w:rsidRDefault="0091588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40E3BA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902064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DB7242A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53123BF" w14:textId="3647CE4E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4B56652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7A2B395" w14:textId="73D9E8AE" w:rsidR="008D44B3" w:rsidRPr="006C2EE2" w:rsidRDefault="0091588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6.1.4. Księgowe ujęcie i prezentacja w sprawozdaniu </w:t>
            </w:r>
            <w:r w:rsidR="008D44B3"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finansowym procesu</w:t>
            </w: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sprzedaży produktów i towaró</w:t>
            </w:r>
            <w:r w:rsidR="006C2EE2"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</w:p>
          <w:p w14:paraId="1C2F584B" w14:textId="029FEABB" w:rsidR="00915883" w:rsidRDefault="0091588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BBB855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F5AF02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EBB661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703E433" w14:textId="5B530D3A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2096713D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02476CC2" w14:textId="77777777" w:rsidR="00915883" w:rsidRDefault="00915883" w:rsidP="006C2EE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6.1.5. Wycena, ujęcie w księgach rachunkowych i </w:t>
            </w:r>
            <w:r w:rsidR="008D44B3"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prezentacja w</w:t>
            </w: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sprawozdaniu finansowym pozostałej działalności operacyjnej</w:t>
            </w:r>
          </w:p>
          <w:p w14:paraId="7644413B" w14:textId="404C0ABC" w:rsidR="006C2EE2" w:rsidRPr="006C2EE2" w:rsidRDefault="006C2EE2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14:paraId="3731AD9C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3877BD5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FA6568B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C74315C" w14:textId="67A3140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2764890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8541748" w14:textId="379750FB" w:rsidR="00915883" w:rsidRPr="006C2EE2" w:rsidRDefault="008D44B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6.1.6. Wycena, księgowe ujęcie i prezentacja w </w:t>
            </w:r>
            <w:r w:rsidR="0013495D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sprawozdaniu finansowym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operacji finansowych</w:t>
            </w:r>
          </w:p>
        </w:tc>
        <w:tc>
          <w:tcPr>
            <w:tcW w:w="3118" w:type="dxa"/>
          </w:tcPr>
          <w:p w14:paraId="6C0A0C7F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D0E05E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E04C26A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682EA55" w14:textId="647785C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0A5BDA33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2"/>
        </w:trPr>
        <w:tc>
          <w:tcPr>
            <w:tcW w:w="4537" w:type="dxa"/>
          </w:tcPr>
          <w:p w14:paraId="30060E37" w14:textId="7969E30B" w:rsidR="00915883" w:rsidRPr="006C2EE2" w:rsidRDefault="008D44B3" w:rsidP="006C2EE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6.1.7. Ustalanie wyniku finansowego i jego rozliczanie</w:t>
            </w:r>
          </w:p>
        </w:tc>
        <w:tc>
          <w:tcPr>
            <w:tcW w:w="3118" w:type="dxa"/>
          </w:tcPr>
          <w:p w14:paraId="64B2C891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5C217E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07DC83C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6EAD78B" w14:textId="27D84CC6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0C9730CD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7A77A141" w14:textId="0D8574BE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6.1.8. Zasady wyceny, ujmowania i prezentacji w   sprawozdaniu finansowym wybranych zagadnień, w</w:t>
            </w:r>
            <w:r w:rsidR="00004C8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szczególności </w:t>
            </w:r>
            <w:r w:rsidR="00004C80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takich jak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</w:p>
          <w:p w14:paraId="5A7233EC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a)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umowy długoterminowe, </w:t>
            </w:r>
          </w:p>
          <w:p w14:paraId="6A3EC191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b)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leasing,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  <w:p w14:paraId="0494D9E8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c)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utrata wartości aktywów, </w:t>
            </w:r>
          </w:p>
          <w:p w14:paraId="5D7840EB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d)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odroczony podatek dochodowy,</w:t>
            </w:r>
          </w:p>
          <w:p w14:paraId="695F5494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e)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dotacje rządowe, </w:t>
            </w:r>
          </w:p>
          <w:p w14:paraId="093CB079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f)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instrumenty finansowe, </w:t>
            </w:r>
          </w:p>
          <w:p w14:paraId="784ACB59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g)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zmiany zasad rachunkowości </w:t>
            </w:r>
          </w:p>
          <w:p w14:paraId="68681AC7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h)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zdarzenia po dacie bilansu,</w:t>
            </w:r>
          </w:p>
          <w:p w14:paraId="22670FAD" w14:textId="7CD83176" w:rsidR="0091588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i)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błąd lat ubiegłych</w:t>
            </w:r>
          </w:p>
        </w:tc>
        <w:tc>
          <w:tcPr>
            <w:tcW w:w="3118" w:type="dxa"/>
          </w:tcPr>
          <w:p w14:paraId="61FF5F79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D128C0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11543D7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CE7CD2" w14:textId="0ABA2696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3C629D6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753E5D5" w14:textId="5E4603D3" w:rsidR="008D44B3" w:rsidRPr="008D44B3" w:rsidRDefault="008D44B3" w:rsidP="00004C8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6.1.9.</w:t>
            </w:r>
            <w:r w:rsidR="00004C8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Szczególne wymagania wobec rachunkowości </w:t>
            </w:r>
            <w:r w:rsidR="00004C80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spółek </w:t>
            </w:r>
            <w:r w:rsidR="00004C80">
              <w:rPr>
                <w:rFonts w:ascii="Times New Roman" w:eastAsia="Calibri" w:hAnsi="Times New Roman" w:cs="Times New Roman"/>
                <w:sz w:val="18"/>
                <w:szCs w:val="18"/>
              </w:rPr>
              <w:t>publicznych</w:t>
            </w:r>
          </w:p>
          <w:p w14:paraId="30FF45DA" w14:textId="37EBDD88" w:rsidR="00915883" w:rsidRDefault="0091588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C0AF5FE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C277D9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20A931B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F37D7E8" w14:textId="6155BB4C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43748CB5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37E68922" w14:textId="77777777" w:rsidR="008D44B3" w:rsidRPr="00004C80" w:rsidRDefault="008D44B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04C8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6.2. Zmiana podstawy prawnej sporządzania sprawozdań finansowych</w:t>
            </w:r>
          </w:p>
          <w:p w14:paraId="689D451E" w14:textId="3652593B" w:rsidR="006C2EE2" w:rsidRPr="006C2EE2" w:rsidRDefault="008D44B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6.2.1.Zmiana podstawy prawnej sporządzania sprawozdań finansowych</w:t>
            </w:r>
          </w:p>
          <w:p w14:paraId="517A5112" w14:textId="25E0C674" w:rsidR="00915883" w:rsidRDefault="0091588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4F504C2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C84FD20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4EF8971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478A592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627AA65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56BEB6D" w14:textId="17748BBB" w:rsidR="008D44B3" w:rsidRPr="0083436E" w:rsidRDefault="008D44B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6.3. Rachunkowość finansowa jednostek prowadzących działalność na podstawie prawa bankowego, ustawy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obrocie instrumentami finansowymi, przepisów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funduszach inwestycyjnych, ustawy o spółdzielczych kasach oszczędnościowo-kredytowych oraz ustawy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instytucjach płatniczych – według ustawy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rachunkowości (</w:t>
            </w:r>
            <w:proofErr w:type="spellStart"/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UoR</w:t>
            </w:r>
            <w:proofErr w:type="spellEnd"/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) i MSR.</w:t>
            </w:r>
          </w:p>
          <w:p w14:paraId="38338D9D" w14:textId="77777777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CCC91C9" w14:textId="6A06051F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6.3.1.</w:t>
            </w:r>
            <w:r w:rsidR="008343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Wycena początkowa, bieżąca i bilansowa </w:t>
            </w:r>
          </w:p>
          <w:p w14:paraId="4E0DEE28" w14:textId="77777777" w:rsidR="00915883" w:rsidRDefault="0083436E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poszczególnych składników</w:t>
            </w:r>
            <w:r w:rsidR="008D44B3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aktywów i pasywów.</w:t>
            </w:r>
          </w:p>
          <w:p w14:paraId="099B310E" w14:textId="7856FD15" w:rsidR="0083436E" w:rsidRDefault="0083436E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66AD834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1B59D9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F6C3400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513C509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1EF612AA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21AD439" w14:textId="77777777" w:rsidR="008D44B3" w:rsidRDefault="008D44B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6.3.2. Ujęcie w księgach rachunkowych zdarzeń </w:t>
            </w:r>
            <w:r w:rsidR="0083436E"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>gospodarczych związanych</w:t>
            </w: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działalnością operacyjną oraz inwestycyjną i finansową scharakteryzowanych w punkcie 6.1.2.</w:t>
            </w:r>
            <w:r w:rsidR="0083436E"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 ponadto operacji specyficznych dla działalności bankowej, </w:t>
            </w:r>
            <w:r w:rsidR="0083436E"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>maklerskiej, inwestycyjnej</w:t>
            </w: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>, spółdzielczych kas oszczędnościowo- kredytowych i instytucji płatniczych</w:t>
            </w:r>
          </w:p>
          <w:p w14:paraId="7DF59346" w14:textId="637A6A33" w:rsidR="006C2EE2" w:rsidRPr="006C2EE2" w:rsidRDefault="006C2EE2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14:paraId="42DDE051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1FCF3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C5CD196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FE13D36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16458F5E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532D43F" w14:textId="77777777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6.3.3. Specyfika inwentaryzacji w bankach, domach</w:t>
            </w:r>
          </w:p>
          <w:p w14:paraId="2A0529F0" w14:textId="6BD48545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maklerskich, funduszach inwestycyjnych, spółdzielczych kasach oszczędnościowo-kredytowych i instytucjach płatniczych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9EC43A1" w14:textId="3BBB4098" w:rsidR="00915883" w:rsidRDefault="0091588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65C563E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EB447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7AD6B6E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2FF46A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5BB3EBC6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9A9E7A7" w14:textId="141D8B23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6.3.4.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Ujęcie w księgach rachunkowych różnic pomiędzy</w:t>
            </w:r>
          </w:p>
          <w:p w14:paraId="27F272AD" w14:textId="2628C2BE" w:rsid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wyceną początkową, bieżącą i bilansową.</w:t>
            </w:r>
          </w:p>
        </w:tc>
        <w:tc>
          <w:tcPr>
            <w:tcW w:w="3118" w:type="dxa"/>
          </w:tcPr>
          <w:p w14:paraId="19CCDCE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B26299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2158DE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FF16B73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44B90A07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4BA04162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6.3.5. Wycena i księgowe ujęcie operacji pochodnymi instrumentami finansowymi oraz stosowanie rachunkowości zabezpieczeń.</w:t>
            </w:r>
          </w:p>
          <w:p w14:paraId="46456C11" w14:textId="19DFE7BB" w:rsidR="00D27003" w:rsidRDefault="00D2700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1D148D2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04FA99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B299810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5BB7D0C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4CEEAAD3" w14:textId="77777777" w:rsidTr="00C060D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4537" w:type="dxa"/>
          </w:tcPr>
          <w:p w14:paraId="30DA2F4D" w14:textId="32D164AD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6.3.6.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Ustalanie wyniku finansowego i jego rozliczanie.</w:t>
            </w:r>
          </w:p>
        </w:tc>
        <w:tc>
          <w:tcPr>
            <w:tcW w:w="3118" w:type="dxa"/>
          </w:tcPr>
          <w:p w14:paraId="508A1271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D5575C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2939D0C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3FC9BB8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6C1D4E6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242E8D5" w14:textId="7A3C0A4D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6.3.7. Szczegółowe zasady rachunkowości dla firm inwestycyjnych instytucji płatniczych</w:t>
            </w:r>
          </w:p>
        </w:tc>
        <w:tc>
          <w:tcPr>
            <w:tcW w:w="3118" w:type="dxa"/>
          </w:tcPr>
          <w:p w14:paraId="7D2026F1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BEAFBD5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0CC0D0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F1C4F5C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6A1BDC2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35A0E7B0" w14:textId="77777777" w:rsidR="008D44B3" w:rsidRDefault="008D44B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100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6.4. Rachunkowość finansowa jednostek prowadzących działalność na podstawie ustawy o działalności ubezpieczeniowej i reasekuracyjnej oraz ustawy o organizacji i funkcjonowaniu funduszy emerytalnych – według ustawy o rachunkowości i MSR.  </w:t>
            </w:r>
          </w:p>
          <w:p w14:paraId="25B8DCD3" w14:textId="77777777" w:rsidR="00D27003" w:rsidRPr="00610017" w:rsidRDefault="00D2700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565AE587" w14:textId="77777777" w:rsid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017">
              <w:rPr>
                <w:rFonts w:ascii="Times New Roman" w:eastAsia="Calibri" w:hAnsi="Times New Roman" w:cs="Times New Roman"/>
                <w:sz w:val="18"/>
                <w:szCs w:val="18"/>
              </w:rPr>
              <w:t>6.4.1.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10017">
              <w:rPr>
                <w:rFonts w:ascii="Times New Roman" w:eastAsia="Calibri" w:hAnsi="Times New Roman" w:cs="Times New Roman"/>
                <w:sz w:val="18"/>
                <w:szCs w:val="18"/>
              </w:rPr>
              <w:t>Wycena początkowa i bilansowa poszczególnych składników aktywów i pasywów.</w:t>
            </w:r>
          </w:p>
          <w:p w14:paraId="44DDEE82" w14:textId="51A351B5" w:rsidR="00D27003" w:rsidRPr="00610017" w:rsidRDefault="00D2700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9536B9B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13D75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13987A3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715604A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2056A50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276AA94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6.4.2. Ujęcie w księgach rachunkowych zdarzeń gospodarczych związanych z działalnością operacyjną, inwestycyjną i finansową scharakteryzowanych w punkcie 6.1.2., a ponadto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operacji specyficznych dla działalności ubezpieczeniowej</w:t>
            </w:r>
          </w:p>
          <w:p w14:paraId="3037AECC" w14:textId="46FA4C47" w:rsidR="006C2EE2" w:rsidRDefault="006C2EE2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C48512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33998F5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3ADC878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CF078CA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41DA7BBB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731351A7" w14:textId="12F9BD43" w:rsidR="008D44B3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6.4.3.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Ujęcie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 księgach rachunkowych różnic pomiędzy wyceną początkową, bieżącą i bilansową.</w:t>
            </w:r>
          </w:p>
        </w:tc>
        <w:tc>
          <w:tcPr>
            <w:tcW w:w="3118" w:type="dxa"/>
          </w:tcPr>
          <w:p w14:paraId="226D655B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333C136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730581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4AF93AA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EC0B48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E14" w:rsidRPr="00BB476D" w14:paraId="122910F9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9E2D8FF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Księgowe ujęcie pozostałych kosztów i przychodów technicznych i oraz pozostałych kosztów i przychodów operacyjnych.</w:t>
            </w:r>
          </w:p>
          <w:p w14:paraId="455A1203" w14:textId="1DB9EDB5" w:rsidR="006C2EE2" w:rsidRPr="0013495D" w:rsidRDefault="006C2EE2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B71D941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9A86D20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D6F4EA6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330679A1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1"/>
        </w:trPr>
        <w:tc>
          <w:tcPr>
            <w:tcW w:w="4537" w:type="dxa"/>
          </w:tcPr>
          <w:p w14:paraId="16CE9C33" w14:textId="6D1EAB32" w:rsidR="008D44B3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6.4.5.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Ustalanie</w:t>
            </w:r>
            <w:r w:rsidR="0013495D"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wyniku technicznego i finansowego.</w:t>
            </w:r>
          </w:p>
        </w:tc>
        <w:tc>
          <w:tcPr>
            <w:tcW w:w="3118" w:type="dxa"/>
          </w:tcPr>
          <w:p w14:paraId="0F4AFED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B1F14F5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273E435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01DE14F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A98100B" w14:textId="056F2A37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6.4.6. Specyficzne zagadnienia rachunkowości funduszy emerytalnych.</w:t>
            </w:r>
          </w:p>
          <w:p w14:paraId="57438E8D" w14:textId="386BF9DA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19D3E5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5C08CA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6E04C1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5D4DAE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1701462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05ACF73" w14:textId="77777777" w:rsidR="0013495D" w:rsidRPr="00A43E14" w:rsidRDefault="0013495D" w:rsidP="0013495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E1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6.5. Rachunkowość jednostek sektora finansów publicznych</w:t>
            </w:r>
          </w:p>
          <w:p w14:paraId="6C65CE00" w14:textId="77777777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6.5.1. Rachunkowość jednostek sektora finansów publicznych posiadających osobowość prawną.</w:t>
            </w:r>
          </w:p>
          <w:p w14:paraId="4D81A342" w14:textId="46D53F8D" w:rsidR="006C2EE2" w:rsidRDefault="006C2EE2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35E23F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160E89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DC83CA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5CCA5C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7D94565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09C027D" w14:textId="3F043C5C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6.5.2. Rachunkowość budżetowa, w tym jednostek </w:t>
            </w:r>
            <w:r w:rsidR="00A43E14"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samorządu terytorialnego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</w:tcPr>
          <w:p w14:paraId="6DD58EB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C183CF7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8E7BB7A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D1018C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2161633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4BC12F61" w14:textId="77777777" w:rsidR="0013495D" w:rsidRPr="00A43E14" w:rsidRDefault="0013495D" w:rsidP="0013495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E1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 6. Rachunkowość jednostek w szczególnych sytuacjach - według ustawy o rachunkowości (</w:t>
            </w:r>
            <w:proofErr w:type="spellStart"/>
            <w:r w:rsidRPr="00A43E1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UoR</w:t>
            </w:r>
            <w:proofErr w:type="spellEnd"/>
            <w:r w:rsidRPr="00A43E1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) i MSR</w:t>
            </w:r>
          </w:p>
          <w:p w14:paraId="4D4372B5" w14:textId="77777777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F946039" w14:textId="208C690B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6.6.1. Rachunkowość jednostek w szczególnych sytuacjach (według ustawy o rachunkowości i MSR), w tym: </w:t>
            </w:r>
          </w:p>
          <w:p w14:paraId="1FA4F523" w14:textId="77777777" w:rsidR="00A43E14" w:rsidRPr="0013495D" w:rsidRDefault="00A43E14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435F2A" w14:textId="77777777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a)</w:t>
            </w:r>
            <w:r w:rsidR="00A43E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zakładanie i przekształcanie jednostek gospodarczych,</w:t>
            </w:r>
          </w:p>
          <w:p w14:paraId="6433E534" w14:textId="23650A8E" w:rsidR="00A43E14" w:rsidRDefault="00A43E14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632158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5ECFA4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F4AF97E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A524657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1D2B0622" w14:textId="77777777" w:rsidTr="00C060D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4537" w:type="dxa"/>
          </w:tcPr>
          <w:p w14:paraId="1D8E7B24" w14:textId="1D62BCEC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b)</w:t>
            </w:r>
            <w:r w:rsidR="00A43E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łączenie, podział i przejęcia spółek,</w:t>
            </w:r>
          </w:p>
        </w:tc>
        <w:tc>
          <w:tcPr>
            <w:tcW w:w="3118" w:type="dxa"/>
          </w:tcPr>
          <w:p w14:paraId="638B42D6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16E6DF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FA3EE3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EF5F7A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028C3A2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092198E6" w14:textId="5A5CC709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c)</w:t>
            </w:r>
            <w:r w:rsidR="00A43E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postępowanie restrukturyzacyjne, likwidacja, upadłość jednostek gospodarczych</w:t>
            </w:r>
          </w:p>
        </w:tc>
        <w:tc>
          <w:tcPr>
            <w:tcW w:w="3118" w:type="dxa"/>
          </w:tcPr>
          <w:p w14:paraId="5DFF58E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8F368B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D0571BF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4E9A5D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708DA422" w14:textId="77777777" w:rsidR="00E5717C" w:rsidRDefault="00E5717C" w:rsidP="00AE566E"/>
    <w:p w14:paraId="0C4BFAF1" w14:textId="5FA035EF" w:rsidR="00826763" w:rsidRPr="00746565" w:rsidRDefault="004B74A0" w:rsidP="00826763">
      <w:pPr>
        <w:ind w:firstLine="1119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9929F3">
        <w:rPr>
          <w:rFonts w:ascii="Times New Roman" w:hAnsi="Times New Roman" w:cs="Times New Roman"/>
          <w:sz w:val="16"/>
          <w:szCs w:val="16"/>
        </w:rPr>
        <w:t>…………………….</w:t>
      </w:r>
    </w:p>
    <w:p w14:paraId="59E697A3" w14:textId="36CCF6FC" w:rsidR="00826763" w:rsidRPr="00746565" w:rsidRDefault="00826763" w:rsidP="00826763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</w:t>
      </w:r>
    </w:p>
    <w:p w14:paraId="2AEAC9C9" w14:textId="77777777" w:rsidR="00826763" w:rsidRDefault="00826763" w:rsidP="00AE566E"/>
    <w:sectPr w:rsidR="00826763" w:rsidSect="00915883">
      <w:footerReference w:type="default" r:id="rId7"/>
      <w:footnotePr>
        <w:numRestart w:val="eachPage"/>
      </w:footnotePr>
      <w:pgSz w:w="16838" w:h="11906" w:orient="landscape"/>
      <w:pgMar w:top="567" w:right="568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7C1A5" w14:textId="77777777" w:rsidR="008A1263" w:rsidRDefault="008A1263" w:rsidP="00E23546">
      <w:pPr>
        <w:spacing w:after="0" w:line="240" w:lineRule="auto"/>
      </w:pPr>
      <w:r>
        <w:separator/>
      </w:r>
    </w:p>
  </w:endnote>
  <w:endnote w:type="continuationSeparator" w:id="0">
    <w:p w14:paraId="336DA2BD" w14:textId="77777777" w:rsidR="008A1263" w:rsidRDefault="008A1263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/>
    <w:sdtContent>
      <w:p w14:paraId="708DA427" w14:textId="77777777" w:rsidR="00E23546" w:rsidRDefault="00E235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A57">
          <w:rPr>
            <w:noProof/>
          </w:rPr>
          <w:t>1</w:t>
        </w:r>
        <w:r>
          <w:fldChar w:fldCharType="end"/>
        </w:r>
      </w:p>
    </w:sdtContent>
  </w:sdt>
  <w:p w14:paraId="708DA428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76F1F" w14:textId="77777777" w:rsidR="008A1263" w:rsidRDefault="008A1263" w:rsidP="00E23546">
      <w:pPr>
        <w:spacing w:after="0" w:line="240" w:lineRule="auto"/>
      </w:pPr>
      <w:r>
        <w:separator/>
      </w:r>
    </w:p>
  </w:footnote>
  <w:footnote w:type="continuationSeparator" w:id="0">
    <w:p w14:paraId="6CF36CD4" w14:textId="77777777" w:rsidR="008A1263" w:rsidRDefault="008A1263" w:rsidP="00E23546">
      <w:pPr>
        <w:spacing w:after="0" w:line="240" w:lineRule="auto"/>
      </w:pPr>
      <w:r>
        <w:continuationSeparator/>
      </w:r>
    </w:p>
  </w:footnote>
  <w:footnote w:id="1">
    <w:p w14:paraId="708DA429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708DA42A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  <w:p w14:paraId="708DA42B" w14:textId="77777777" w:rsidR="00E23546" w:rsidRPr="00915883" w:rsidRDefault="00E23546" w:rsidP="00E23546">
      <w:pPr>
        <w:pStyle w:val="Tekstprzypisudolnego"/>
        <w:rPr>
          <w:sz w:val="16"/>
          <w:szCs w:val="16"/>
        </w:rPr>
      </w:pPr>
    </w:p>
  </w:footnote>
  <w:footnote w:id="3">
    <w:p w14:paraId="48F6C393" w14:textId="77777777" w:rsidR="00915883" w:rsidRDefault="00915883" w:rsidP="0091588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  <w:szCs w:val="18"/>
        </w:rPr>
        <w:t>Międzynarodowe Standardy Rachunkowości (MSR) w rozumieniu ustawy z dnia 29 września 1994 r. o rachunkowości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 xml:space="preserve">. Dz.U. z 2021 r. poz.217 z </w:t>
      </w:r>
      <w:proofErr w:type="spellStart"/>
      <w:r>
        <w:rPr>
          <w:sz w:val="18"/>
          <w:szCs w:val="18"/>
        </w:rPr>
        <w:t>późn</w:t>
      </w:r>
      <w:proofErr w:type="spellEnd"/>
      <w:r>
        <w:rPr>
          <w:sz w:val="18"/>
          <w:szCs w:val="18"/>
        </w:rPr>
        <w:t>. zm.).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96D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383" w:hanging="360"/>
      </w:p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 w15:restartNumberingAfterBreak="0">
    <w:nsid w:val="13641004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830" w:hanging="360"/>
      </w:p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52FC6"/>
    <w:multiLevelType w:val="hybridMultilevel"/>
    <w:tmpl w:val="F506A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204F"/>
    <w:multiLevelType w:val="hybridMultilevel"/>
    <w:tmpl w:val="6E9A7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03514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C43D69"/>
    <w:multiLevelType w:val="hybridMultilevel"/>
    <w:tmpl w:val="C180F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85027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830" w:hanging="360"/>
      </w:p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8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535A3"/>
    <w:multiLevelType w:val="hybridMultilevel"/>
    <w:tmpl w:val="CE3ED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52CBB"/>
    <w:multiLevelType w:val="hybridMultilevel"/>
    <w:tmpl w:val="615C66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966F26"/>
    <w:multiLevelType w:val="hybridMultilevel"/>
    <w:tmpl w:val="8AB49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 w15:restartNumberingAfterBreak="0">
    <w:nsid w:val="4DAA4912"/>
    <w:multiLevelType w:val="hybridMultilevel"/>
    <w:tmpl w:val="E22EA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36D49"/>
    <w:multiLevelType w:val="hybridMultilevel"/>
    <w:tmpl w:val="A2AC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73F99"/>
    <w:multiLevelType w:val="hybridMultilevel"/>
    <w:tmpl w:val="9686160C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09667">
    <w:abstractNumId w:val="17"/>
  </w:num>
  <w:num w:numId="2" w16cid:durableId="1138298783">
    <w:abstractNumId w:val="9"/>
  </w:num>
  <w:num w:numId="3" w16cid:durableId="666715881">
    <w:abstractNumId w:val="2"/>
  </w:num>
  <w:num w:numId="4" w16cid:durableId="1551649434">
    <w:abstractNumId w:val="13"/>
  </w:num>
  <w:num w:numId="5" w16cid:durableId="20830201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0876673">
    <w:abstractNumId w:val="8"/>
  </w:num>
  <w:num w:numId="7" w16cid:durableId="1997567237">
    <w:abstractNumId w:val="7"/>
  </w:num>
  <w:num w:numId="8" w16cid:durableId="1272663463">
    <w:abstractNumId w:val="1"/>
  </w:num>
  <w:num w:numId="9" w16cid:durableId="917402720">
    <w:abstractNumId w:val="16"/>
  </w:num>
  <w:num w:numId="10" w16cid:durableId="2062243049">
    <w:abstractNumId w:val="0"/>
  </w:num>
  <w:num w:numId="11" w16cid:durableId="205455542">
    <w:abstractNumId w:val="5"/>
  </w:num>
  <w:num w:numId="12" w16cid:durableId="741829032">
    <w:abstractNumId w:val="4"/>
  </w:num>
  <w:num w:numId="13" w16cid:durableId="425271826">
    <w:abstractNumId w:val="14"/>
  </w:num>
  <w:num w:numId="14" w16cid:durableId="1941182826">
    <w:abstractNumId w:val="10"/>
  </w:num>
  <w:num w:numId="15" w16cid:durableId="1078551921">
    <w:abstractNumId w:val="15"/>
  </w:num>
  <w:num w:numId="16" w16cid:durableId="673917068">
    <w:abstractNumId w:val="12"/>
  </w:num>
  <w:num w:numId="17" w16cid:durableId="1166215188">
    <w:abstractNumId w:val="3"/>
  </w:num>
  <w:num w:numId="18" w16cid:durableId="1858538547">
    <w:abstractNumId w:val="6"/>
  </w:num>
  <w:num w:numId="19" w16cid:durableId="1462380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0379C"/>
    <w:rsid w:val="00004C80"/>
    <w:rsid w:val="0003299D"/>
    <w:rsid w:val="0005770F"/>
    <w:rsid w:val="00076527"/>
    <w:rsid w:val="00094AE2"/>
    <w:rsid w:val="000C3A79"/>
    <w:rsid w:val="000E6F52"/>
    <w:rsid w:val="000E791C"/>
    <w:rsid w:val="000F44D8"/>
    <w:rsid w:val="00127DE7"/>
    <w:rsid w:val="0013495D"/>
    <w:rsid w:val="00142073"/>
    <w:rsid w:val="001527AD"/>
    <w:rsid w:val="00181271"/>
    <w:rsid w:val="001B465E"/>
    <w:rsid w:val="00234D0E"/>
    <w:rsid w:val="00244484"/>
    <w:rsid w:val="002B7583"/>
    <w:rsid w:val="00305630"/>
    <w:rsid w:val="00311C12"/>
    <w:rsid w:val="0031249B"/>
    <w:rsid w:val="003313A3"/>
    <w:rsid w:val="00350D93"/>
    <w:rsid w:val="00365D0A"/>
    <w:rsid w:val="003B2DFE"/>
    <w:rsid w:val="003C1D8B"/>
    <w:rsid w:val="003F02E7"/>
    <w:rsid w:val="003F69E5"/>
    <w:rsid w:val="004219A6"/>
    <w:rsid w:val="00443EC5"/>
    <w:rsid w:val="00462A57"/>
    <w:rsid w:val="00473D76"/>
    <w:rsid w:val="004B74A0"/>
    <w:rsid w:val="004D1EF7"/>
    <w:rsid w:val="00524EB9"/>
    <w:rsid w:val="005630C1"/>
    <w:rsid w:val="0057580B"/>
    <w:rsid w:val="00577FDA"/>
    <w:rsid w:val="00596BEF"/>
    <w:rsid w:val="00610017"/>
    <w:rsid w:val="00614563"/>
    <w:rsid w:val="00666B16"/>
    <w:rsid w:val="00685FA2"/>
    <w:rsid w:val="006C2EE2"/>
    <w:rsid w:val="006D771E"/>
    <w:rsid w:val="006F1D35"/>
    <w:rsid w:val="00714B21"/>
    <w:rsid w:val="00723577"/>
    <w:rsid w:val="0078513D"/>
    <w:rsid w:val="00791267"/>
    <w:rsid w:val="007C61EB"/>
    <w:rsid w:val="00816E19"/>
    <w:rsid w:val="0082318A"/>
    <w:rsid w:val="008265BD"/>
    <w:rsid w:val="00826763"/>
    <w:rsid w:val="00827D25"/>
    <w:rsid w:val="0083436E"/>
    <w:rsid w:val="00842B05"/>
    <w:rsid w:val="00880601"/>
    <w:rsid w:val="008A1263"/>
    <w:rsid w:val="008D44B3"/>
    <w:rsid w:val="008F0210"/>
    <w:rsid w:val="00915883"/>
    <w:rsid w:val="00952B01"/>
    <w:rsid w:val="00965E4E"/>
    <w:rsid w:val="00976530"/>
    <w:rsid w:val="0097695A"/>
    <w:rsid w:val="009929F3"/>
    <w:rsid w:val="009A3A4E"/>
    <w:rsid w:val="009E153A"/>
    <w:rsid w:val="00A339B3"/>
    <w:rsid w:val="00A43E14"/>
    <w:rsid w:val="00AE4E2F"/>
    <w:rsid w:val="00AE566E"/>
    <w:rsid w:val="00B026BA"/>
    <w:rsid w:val="00B0630B"/>
    <w:rsid w:val="00B06ED1"/>
    <w:rsid w:val="00B14896"/>
    <w:rsid w:val="00B22DA4"/>
    <w:rsid w:val="00B3332F"/>
    <w:rsid w:val="00C060D0"/>
    <w:rsid w:val="00C234BB"/>
    <w:rsid w:val="00C3281C"/>
    <w:rsid w:val="00C35802"/>
    <w:rsid w:val="00C43CE1"/>
    <w:rsid w:val="00C6321F"/>
    <w:rsid w:val="00C749EE"/>
    <w:rsid w:val="00CE3A89"/>
    <w:rsid w:val="00D27003"/>
    <w:rsid w:val="00D549E3"/>
    <w:rsid w:val="00D87899"/>
    <w:rsid w:val="00DC5C07"/>
    <w:rsid w:val="00E14D7A"/>
    <w:rsid w:val="00E23546"/>
    <w:rsid w:val="00E26BDA"/>
    <w:rsid w:val="00E5717C"/>
    <w:rsid w:val="00E62170"/>
    <w:rsid w:val="00E80ACD"/>
    <w:rsid w:val="00E92203"/>
    <w:rsid w:val="00E950E7"/>
    <w:rsid w:val="00EA3FD9"/>
    <w:rsid w:val="00EC30FE"/>
    <w:rsid w:val="00ED28ED"/>
    <w:rsid w:val="00F018E7"/>
    <w:rsid w:val="00F249F9"/>
    <w:rsid w:val="00F26BF6"/>
    <w:rsid w:val="00F71660"/>
    <w:rsid w:val="00FC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A3F5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B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835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Sztuczka</dc:creator>
  <cp:keywords/>
  <dc:description/>
  <cp:lastModifiedBy>Anna Sztuczka</cp:lastModifiedBy>
  <cp:revision>2</cp:revision>
  <dcterms:created xsi:type="dcterms:W3CDTF">2026-09-28T12:44:00Z</dcterms:created>
  <dcterms:modified xsi:type="dcterms:W3CDTF">2026-09-28T12:44:00Z</dcterms:modified>
</cp:coreProperties>
</file>